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244C4" w:rsidP="00E3528A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СЕВЕРОМОРСКОЕ</w:t>
      </w:r>
      <w:r w:rsidRPr="00704199">
        <w:rPr>
          <w:b/>
        </w:rPr>
        <w:t xml:space="preserve">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E244C4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>
        <w:rPr>
          <w:sz w:val="28"/>
          <w:szCs w:val="28"/>
        </w:rPr>
        <w:t>конкурсов на право заключения договора пользования рыболовным участком н</w:t>
      </w:r>
      <w:r w:rsidRPr="00704199">
        <w:rPr>
          <w:sz w:val="28"/>
          <w:szCs w:val="28"/>
        </w:rPr>
        <w:t>а территории Мурманской области</w:t>
      </w:r>
      <w:r w:rsidR="00E76E0C" w:rsidRPr="00704199">
        <w:rPr>
          <w:sz w:val="28"/>
          <w:szCs w:val="28"/>
        </w:rPr>
        <w:t xml:space="preserve">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3D6D44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123B88">
        <w:rPr>
          <w:sz w:val="28"/>
          <w:szCs w:val="28"/>
          <w:u w:val="single"/>
        </w:rPr>
        <w:t>30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E244C4">
        <w:rPr>
          <w:sz w:val="28"/>
          <w:szCs w:val="28"/>
          <w:u w:val="single"/>
        </w:rPr>
        <w:t>июл</w:t>
      </w:r>
      <w:r w:rsidR="000D5DB7">
        <w:rPr>
          <w:sz w:val="28"/>
          <w:szCs w:val="28"/>
          <w:u w:val="single"/>
        </w:rPr>
        <w:t xml:space="preserve">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E244C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123B88">
        <w:rPr>
          <w:sz w:val="28"/>
          <w:szCs w:val="28"/>
          <w:u w:val="single"/>
        </w:rPr>
        <w:t>2</w:t>
      </w:r>
      <w:r w:rsidR="000D5DB7">
        <w:rPr>
          <w:sz w:val="28"/>
          <w:szCs w:val="28"/>
          <w:u w:val="single"/>
        </w:rPr>
        <w:t xml:space="preserve">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6250" w:rsidRDefault="005062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4C4" w:rsidRPr="00704199" w:rsidRDefault="00E244C4" w:rsidP="00E244C4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E244C4" w:rsidRDefault="00E244C4" w:rsidP="00E244C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Долишний К.З.</w:t>
      </w:r>
      <w:r w:rsidRPr="007041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5C65FC">
        <w:rPr>
          <w:rFonts w:ascii="Times New Roman" w:hAnsi="Times New Roman" w:cs="Times New Roman"/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биологических ресурсов и сохранением среды их обитания </w:t>
      </w:r>
      <w:r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5C65FC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4C4" w:rsidRPr="00704199" w:rsidRDefault="00E244C4" w:rsidP="00E244C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4C4" w:rsidRPr="00704199" w:rsidRDefault="00E244C4" w:rsidP="00E244C4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E244C4" w:rsidRDefault="00E244C4" w:rsidP="00E244C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 А.В. – начальник 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области;</w:t>
      </w:r>
    </w:p>
    <w:p w:rsidR="00E244C4" w:rsidRDefault="00E244C4" w:rsidP="00E244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 специалист-эксперт</w:t>
      </w:r>
      <w:r w:rsidR="005F0A22">
        <w:rPr>
          <w:sz w:val="28"/>
          <w:szCs w:val="28"/>
        </w:rPr>
        <w:t xml:space="preserve"> отдела государственного экологического надзора по Мурманской области Балтийско-Арктического межрегионального управления </w:t>
      </w:r>
      <w:proofErr w:type="spellStart"/>
      <w:r w:rsidR="005F0A22">
        <w:rPr>
          <w:sz w:val="28"/>
          <w:szCs w:val="28"/>
        </w:rPr>
        <w:t>Росприроднадзора</w:t>
      </w:r>
      <w:proofErr w:type="spellEnd"/>
      <w:r w:rsidR="005F0A2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E244C4" w:rsidRPr="00704199" w:rsidRDefault="00E244C4" w:rsidP="00E244C4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 xml:space="preserve">Лещенко А.В.  – </w:t>
      </w:r>
      <w:r>
        <w:rPr>
          <w:bCs/>
          <w:sz w:val="28"/>
          <w:szCs w:val="28"/>
        </w:rPr>
        <w:t xml:space="preserve">заместитель </w:t>
      </w:r>
      <w:r w:rsidRPr="0070419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704199">
        <w:rPr>
          <w:bCs/>
          <w:sz w:val="28"/>
          <w:szCs w:val="28"/>
        </w:rPr>
        <w:t xml:space="preserve"> отдела правового обеспечения</w:t>
      </w:r>
      <w:r w:rsidR="00506250">
        <w:rPr>
          <w:bCs/>
          <w:sz w:val="28"/>
          <w:szCs w:val="28"/>
        </w:rPr>
        <w:t>, государственной службы и кадров</w:t>
      </w:r>
      <w:r w:rsidRPr="007041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Североморского </w:t>
      </w:r>
      <w:r w:rsidRPr="00704199">
        <w:rPr>
          <w:bCs/>
          <w:sz w:val="28"/>
          <w:szCs w:val="28"/>
        </w:rPr>
        <w:t>территориального управления Федерального агентства по рыболовству</w:t>
      </w:r>
      <w:r w:rsidRPr="00704199">
        <w:rPr>
          <w:sz w:val="28"/>
          <w:szCs w:val="28"/>
        </w:rPr>
        <w:t>;</w:t>
      </w:r>
    </w:p>
    <w:p w:rsidR="00E244C4" w:rsidRDefault="00E244C4" w:rsidP="00E24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Североморского</w:t>
      </w:r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E90111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E244C4" w:rsidRDefault="00E244C4" w:rsidP="00E244C4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704199" w:rsidRDefault="00DF7EB5" w:rsidP="00761A83">
      <w:pPr>
        <w:jc w:val="both"/>
        <w:rPr>
          <w:b/>
          <w:bCs/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  <w:r w:rsidR="00E3528A" w:rsidRPr="00704199">
        <w:rPr>
          <w:b/>
          <w:bCs/>
          <w:sz w:val="28"/>
          <w:szCs w:val="28"/>
        </w:rPr>
        <w:t>Повестка дня:</w:t>
      </w:r>
    </w:p>
    <w:p w:rsidR="002E2705" w:rsidRPr="00B6392A" w:rsidRDefault="00123B88" w:rsidP="00E244C4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B6392A">
        <w:rPr>
          <w:sz w:val="28"/>
          <w:szCs w:val="28"/>
        </w:rPr>
        <w:t xml:space="preserve">Рассмотрение </w:t>
      </w:r>
      <w:r w:rsidR="00B6392A" w:rsidRPr="00B6392A">
        <w:rPr>
          <w:sz w:val="28"/>
          <w:szCs w:val="28"/>
        </w:rPr>
        <w:t xml:space="preserve">поступивших </w:t>
      </w:r>
      <w:r w:rsidR="008D304A" w:rsidRPr="00B6392A">
        <w:rPr>
          <w:sz w:val="28"/>
          <w:szCs w:val="28"/>
        </w:rPr>
        <w:t>заяв</w:t>
      </w:r>
      <w:r w:rsidR="00B6392A" w:rsidRPr="00B6392A">
        <w:rPr>
          <w:sz w:val="28"/>
          <w:szCs w:val="28"/>
        </w:rPr>
        <w:t xml:space="preserve">ок </w:t>
      </w:r>
      <w:proofErr w:type="gramStart"/>
      <w:r w:rsidR="008D304A" w:rsidRPr="00B6392A">
        <w:rPr>
          <w:sz w:val="28"/>
          <w:szCs w:val="28"/>
        </w:rPr>
        <w:t xml:space="preserve">на участие в конкурсе на право заключения договора </w:t>
      </w:r>
      <w:r w:rsidR="00E244C4">
        <w:rPr>
          <w:sz w:val="28"/>
          <w:szCs w:val="28"/>
        </w:rPr>
        <w:t xml:space="preserve">пользования рыболовным участком </w:t>
      </w:r>
      <w:r w:rsidR="008E2BBC" w:rsidRPr="00B6392A">
        <w:rPr>
          <w:sz w:val="28"/>
          <w:szCs w:val="28"/>
        </w:rPr>
        <w:t xml:space="preserve">для </w:t>
      </w:r>
      <w:r w:rsidR="00E244C4">
        <w:rPr>
          <w:sz w:val="28"/>
          <w:szCs w:val="28"/>
        </w:rPr>
        <w:t xml:space="preserve">организации любительского рыболовства </w:t>
      </w:r>
      <w:r w:rsidR="00E244C4" w:rsidRPr="00EF586A">
        <w:rPr>
          <w:sz w:val="28"/>
          <w:szCs w:val="28"/>
        </w:rPr>
        <w:t>в отношении</w:t>
      </w:r>
      <w:proofErr w:type="gramEnd"/>
      <w:r w:rsidR="00E244C4" w:rsidRPr="00EF586A">
        <w:rPr>
          <w:sz w:val="28"/>
          <w:szCs w:val="28"/>
        </w:rPr>
        <w:t xml:space="preserve"> водных биологических ресурсов, находящихся в федеральной собственности, в том числе анадромных, </w:t>
      </w:r>
      <w:proofErr w:type="spellStart"/>
      <w:r w:rsidR="00E244C4" w:rsidRPr="00EF586A">
        <w:rPr>
          <w:sz w:val="28"/>
          <w:szCs w:val="28"/>
        </w:rPr>
        <w:t>катадромных</w:t>
      </w:r>
      <w:proofErr w:type="spellEnd"/>
      <w:r w:rsidR="00E244C4" w:rsidRPr="00EF586A">
        <w:rPr>
          <w:sz w:val="28"/>
          <w:szCs w:val="28"/>
        </w:rPr>
        <w:t xml:space="preserve"> и трансграничных видов рыб</w:t>
      </w:r>
      <w:r w:rsidR="00E244C4">
        <w:rPr>
          <w:sz w:val="28"/>
          <w:szCs w:val="28"/>
        </w:rPr>
        <w:t>,</w:t>
      </w:r>
      <w:r w:rsidR="00E244C4" w:rsidRPr="00EF586A">
        <w:rPr>
          <w:sz w:val="28"/>
          <w:szCs w:val="28"/>
        </w:rPr>
        <w:t xml:space="preserve"> </w:t>
      </w:r>
      <w:r w:rsidR="00E244C4" w:rsidRPr="001B609C">
        <w:rPr>
          <w:sz w:val="28"/>
          <w:szCs w:val="28"/>
        </w:rPr>
        <w:t>н</w:t>
      </w:r>
      <w:r w:rsidR="00E244C4">
        <w:rPr>
          <w:sz w:val="28"/>
          <w:szCs w:val="28"/>
        </w:rPr>
        <w:t>а территории Мурманской области (да</w:t>
      </w:r>
      <w:r w:rsidR="008D304A" w:rsidRPr="00B6392A">
        <w:rPr>
          <w:sz w:val="28"/>
          <w:szCs w:val="28"/>
        </w:rPr>
        <w:t>лее – З</w:t>
      </w:r>
      <w:r w:rsidR="00B6392A" w:rsidRPr="00B6392A">
        <w:rPr>
          <w:sz w:val="28"/>
          <w:szCs w:val="28"/>
        </w:rPr>
        <w:t>аявка</w:t>
      </w:r>
      <w:r w:rsidR="008D304A" w:rsidRPr="00B6392A">
        <w:rPr>
          <w:sz w:val="28"/>
          <w:szCs w:val="28"/>
        </w:rPr>
        <w:t xml:space="preserve">, Конкурс). </w:t>
      </w:r>
    </w:p>
    <w:p w:rsidR="00F60F43" w:rsidRPr="00225D7A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lastRenderedPageBreak/>
        <w:t>Выступили:</w:t>
      </w:r>
      <w:r w:rsidRPr="00224BA1">
        <w:rPr>
          <w:sz w:val="28"/>
          <w:szCs w:val="28"/>
        </w:rPr>
        <w:t xml:space="preserve"> </w:t>
      </w:r>
      <w:r w:rsidR="00E244C4" w:rsidRPr="00225D7A">
        <w:rPr>
          <w:sz w:val="28"/>
          <w:szCs w:val="28"/>
        </w:rPr>
        <w:t xml:space="preserve">Долишний К.З., Алексеев А.В., </w:t>
      </w:r>
      <w:r w:rsidR="00B6392A" w:rsidRPr="00225D7A">
        <w:rPr>
          <w:sz w:val="28"/>
          <w:szCs w:val="28"/>
        </w:rPr>
        <w:t>Лещенко А.В., Басова Е.А.</w:t>
      </w:r>
    </w:p>
    <w:p w:rsidR="00B6392A" w:rsidRDefault="00B6392A" w:rsidP="00181F2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E90111">
        <w:rPr>
          <w:sz w:val="28"/>
          <w:szCs w:val="28"/>
        </w:rPr>
        <w:t>протоколу вскрытия конвертов с з</w:t>
      </w:r>
      <w:r>
        <w:rPr>
          <w:sz w:val="28"/>
          <w:szCs w:val="28"/>
        </w:rPr>
        <w:t xml:space="preserve">аявками от </w:t>
      </w:r>
      <w:r w:rsidR="00E244C4">
        <w:rPr>
          <w:sz w:val="28"/>
          <w:szCs w:val="28"/>
        </w:rPr>
        <w:t xml:space="preserve">20 июля </w:t>
      </w:r>
      <w:r>
        <w:rPr>
          <w:sz w:val="28"/>
          <w:szCs w:val="28"/>
        </w:rPr>
        <w:t>20</w:t>
      </w:r>
      <w:r w:rsidR="00E244C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1 в комиссию </w:t>
      </w:r>
      <w:r w:rsidRPr="0070419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конкурсов на право заключения договора</w:t>
      </w:r>
      <w:r w:rsidR="00E244C4">
        <w:rPr>
          <w:sz w:val="28"/>
          <w:szCs w:val="28"/>
        </w:rPr>
        <w:t xml:space="preserve"> пользования рыболовным участком н</w:t>
      </w:r>
      <w:r w:rsidRPr="00704199">
        <w:rPr>
          <w:sz w:val="28"/>
          <w:szCs w:val="28"/>
        </w:rPr>
        <w:t>а территории Мурманской области</w:t>
      </w:r>
      <w:r>
        <w:rPr>
          <w:sz w:val="28"/>
          <w:szCs w:val="28"/>
        </w:rPr>
        <w:t xml:space="preserve"> (далее – Комиссия) поступили Заявки от следующих заявителей:</w:t>
      </w:r>
    </w:p>
    <w:tbl>
      <w:tblPr>
        <w:tblStyle w:val="a4"/>
        <w:tblW w:w="10562" w:type="dxa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4784"/>
      </w:tblGrid>
      <w:tr w:rsidR="00B6392A" w:rsidRPr="00506250" w:rsidTr="00E244C4">
        <w:trPr>
          <w:trHeight w:val="704"/>
          <w:jc w:val="center"/>
        </w:trPr>
        <w:tc>
          <w:tcPr>
            <w:tcW w:w="959" w:type="dxa"/>
            <w:vAlign w:val="center"/>
          </w:tcPr>
          <w:p w:rsidR="00B6392A" w:rsidRPr="00506250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 xml:space="preserve"> Номер лота</w:t>
            </w:r>
          </w:p>
        </w:tc>
        <w:tc>
          <w:tcPr>
            <w:tcW w:w="4819" w:type="dxa"/>
            <w:vAlign w:val="center"/>
          </w:tcPr>
          <w:p w:rsidR="00564CBA" w:rsidRPr="00506250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 xml:space="preserve">Номер и наименование </w:t>
            </w:r>
          </w:p>
          <w:p w:rsidR="00B6392A" w:rsidRPr="00506250" w:rsidRDefault="00506250" w:rsidP="00E244C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р</w:t>
            </w:r>
            <w:r w:rsidR="00B6392A" w:rsidRPr="00506250">
              <w:t>ыбо</w:t>
            </w:r>
            <w:r w:rsidR="00E244C4" w:rsidRPr="00506250">
              <w:t xml:space="preserve">ловного участка </w:t>
            </w:r>
          </w:p>
        </w:tc>
        <w:tc>
          <w:tcPr>
            <w:tcW w:w="4784" w:type="dxa"/>
            <w:vAlign w:val="center"/>
          </w:tcPr>
          <w:p w:rsidR="00B6392A" w:rsidRPr="00506250" w:rsidRDefault="00181F22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Наименование заявителя</w:t>
            </w:r>
          </w:p>
        </w:tc>
      </w:tr>
      <w:tr w:rsidR="00E244C4" w:rsidRPr="00506250" w:rsidTr="00AF4B54">
        <w:trPr>
          <w:trHeight w:val="397"/>
          <w:jc w:val="center"/>
        </w:trPr>
        <w:tc>
          <w:tcPr>
            <w:tcW w:w="959" w:type="dxa"/>
            <w:vMerge w:val="restart"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1</w:t>
            </w:r>
          </w:p>
        </w:tc>
        <w:tc>
          <w:tcPr>
            <w:tcW w:w="4819" w:type="dxa"/>
            <w:vMerge w:val="restart"/>
            <w:vAlign w:val="center"/>
          </w:tcPr>
          <w:p w:rsidR="00E244C4" w:rsidRPr="00506250" w:rsidRDefault="00E244C4" w:rsidP="00E244C4">
            <w:r w:rsidRPr="00506250">
              <w:t xml:space="preserve">№ 449: Баренцево море, губа </w:t>
            </w:r>
            <w:proofErr w:type="spellStart"/>
            <w:r w:rsidRPr="00506250">
              <w:t>Териберская</w:t>
            </w:r>
            <w:proofErr w:type="spellEnd"/>
            <w:r w:rsidRPr="00506250">
              <w:t xml:space="preserve"> 1</w:t>
            </w:r>
          </w:p>
        </w:tc>
        <w:tc>
          <w:tcPr>
            <w:tcW w:w="4784" w:type="dxa"/>
            <w:vAlign w:val="center"/>
          </w:tcPr>
          <w:p w:rsidR="00E244C4" w:rsidRPr="00506250" w:rsidRDefault="00E244C4" w:rsidP="00E244C4">
            <w:r w:rsidRPr="00506250">
              <w:t>Мурманский филиал ФГБУ «</w:t>
            </w:r>
            <w:proofErr w:type="spellStart"/>
            <w:r w:rsidRPr="00506250">
              <w:t>Главрыбвод</w:t>
            </w:r>
            <w:proofErr w:type="spellEnd"/>
            <w:r w:rsidRPr="00506250">
              <w:t>»</w:t>
            </w:r>
          </w:p>
        </w:tc>
      </w:tr>
      <w:tr w:rsidR="00E244C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E244C4" w:rsidRPr="00506250" w:rsidRDefault="00E244C4" w:rsidP="005C5AD8">
            <w:r w:rsidRPr="00506250">
              <w:t xml:space="preserve">АО «Серебро </w:t>
            </w:r>
            <w:proofErr w:type="spellStart"/>
            <w:r w:rsidRPr="00506250">
              <w:t>Поноя</w:t>
            </w:r>
            <w:proofErr w:type="spellEnd"/>
            <w:r w:rsidRPr="00506250">
              <w:t xml:space="preserve"> +»</w:t>
            </w:r>
          </w:p>
        </w:tc>
      </w:tr>
      <w:tr w:rsidR="00E244C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E244C4" w:rsidRPr="00506250" w:rsidRDefault="00E244C4" w:rsidP="005C5AD8">
            <w:r w:rsidRPr="00506250">
              <w:t>ООО «Аврора Тур»</w:t>
            </w:r>
          </w:p>
        </w:tc>
      </w:tr>
      <w:tr w:rsidR="00E244C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E244C4" w:rsidRPr="00506250" w:rsidRDefault="00E244C4" w:rsidP="005C5AD8">
            <w:r w:rsidRPr="00506250">
              <w:t>ООО «Логистик-А»</w:t>
            </w:r>
          </w:p>
        </w:tc>
      </w:tr>
      <w:tr w:rsidR="00E244C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E244C4" w:rsidRPr="00506250" w:rsidRDefault="00E244C4" w:rsidP="00E244C4">
            <w:r w:rsidRPr="00506250">
              <w:t xml:space="preserve">ИП </w:t>
            </w:r>
            <w:proofErr w:type="spellStart"/>
            <w:r w:rsidRPr="00506250">
              <w:t>Гулимчук</w:t>
            </w:r>
            <w:proofErr w:type="spellEnd"/>
            <w:r w:rsidRPr="00506250">
              <w:t xml:space="preserve"> Александр Ярославович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 w:val="restart"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2</w:t>
            </w:r>
          </w:p>
        </w:tc>
        <w:tc>
          <w:tcPr>
            <w:tcW w:w="4819" w:type="dxa"/>
            <w:vMerge w:val="restart"/>
            <w:vAlign w:val="center"/>
          </w:tcPr>
          <w:p w:rsidR="00AF4B54" w:rsidRPr="00506250" w:rsidRDefault="00AF4B54" w:rsidP="00E244C4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  <w:r w:rsidRPr="00506250">
              <w:t xml:space="preserve">№ 454: Баренцево море, губа </w:t>
            </w:r>
            <w:proofErr w:type="spellStart"/>
            <w:r w:rsidRPr="00506250">
              <w:t>Териберская</w:t>
            </w:r>
            <w:proofErr w:type="spellEnd"/>
            <w:r w:rsidRPr="00506250">
              <w:t xml:space="preserve"> 2</w:t>
            </w: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Мурманский филиал ФГБУ «</w:t>
            </w:r>
            <w:proofErr w:type="spellStart"/>
            <w:r w:rsidRPr="00506250">
              <w:t>Главрыбвод</w:t>
            </w:r>
            <w:proofErr w:type="spellEnd"/>
            <w:r w:rsidRPr="00506250">
              <w:t>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 xml:space="preserve">АО «Серебро </w:t>
            </w:r>
            <w:proofErr w:type="spellStart"/>
            <w:r w:rsidRPr="00506250">
              <w:t>Поноя</w:t>
            </w:r>
            <w:proofErr w:type="spellEnd"/>
            <w:r w:rsidRPr="00506250">
              <w:t xml:space="preserve"> +»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ООО «Аврора Тур»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ООО «Логистик-А»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 xml:space="preserve">ИП </w:t>
            </w:r>
            <w:proofErr w:type="spellStart"/>
            <w:r w:rsidRPr="00506250">
              <w:t>Гулимчук</w:t>
            </w:r>
            <w:proofErr w:type="spellEnd"/>
            <w:r w:rsidRPr="00506250">
              <w:t xml:space="preserve"> Александр Ярославович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 w:val="restart"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3</w:t>
            </w:r>
          </w:p>
        </w:tc>
        <w:tc>
          <w:tcPr>
            <w:tcW w:w="4819" w:type="dxa"/>
            <w:vMerge w:val="restart"/>
            <w:vAlign w:val="center"/>
          </w:tcPr>
          <w:p w:rsidR="00AF4B54" w:rsidRPr="00506250" w:rsidRDefault="00AF4B54" w:rsidP="00AF4B54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  <w:r w:rsidRPr="00506250">
              <w:t xml:space="preserve">№ 455: Баренцево море, бухта Долгая Щель – бухта </w:t>
            </w:r>
            <w:proofErr w:type="spellStart"/>
            <w:r w:rsidRPr="00506250">
              <w:t>Малонемецкая</w:t>
            </w:r>
            <w:proofErr w:type="spellEnd"/>
            <w:r w:rsidRPr="00506250">
              <w:t xml:space="preserve"> Западная</w:t>
            </w:r>
          </w:p>
        </w:tc>
        <w:tc>
          <w:tcPr>
            <w:tcW w:w="4784" w:type="dxa"/>
            <w:vAlign w:val="center"/>
          </w:tcPr>
          <w:p w:rsidR="00AF4B54" w:rsidRPr="00506250" w:rsidRDefault="00AF4B54" w:rsidP="00AF4B54">
            <w:r w:rsidRPr="00506250">
              <w:t>Мурманский филиал ФГБУ «</w:t>
            </w:r>
            <w:proofErr w:type="spellStart"/>
            <w:r w:rsidRPr="00506250">
              <w:t>Главрыбвод</w:t>
            </w:r>
            <w:proofErr w:type="spellEnd"/>
            <w:r w:rsidRPr="00506250">
              <w:t>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 xml:space="preserve">АО «Серебро </w:t>
            </w:r>
            <w:proofErr w:type="spellStart"/>
            <w:r w:rsidRPr="00506250">
              <w:t>Поноя</w:t>
            </w:r>
            <w:proofErr w:type="spellEnd"/>
            <w:r w:rsidRPr="00506250">
              <w:t xml:space="preserve"> +»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</w:t>
            </w:r>
            <w:r w:rsidR="00BE6FA1">
              <w:t>О</w:t>
            </w:r>
            <w:r w:rsidRPr="00506250">
              <w:t xml:space="preserve"> «Ч.Ч. аниме»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 xml:space="preserve">ООО «Порт </w:t>
            </w:r>
            <w:proofErr w:type="spellStart"/>
            <w:r w:rsidRPr="00506250">
              <w:t>Лиинахамари</w:t>
            </w:r>
            <w:proofErr w:type="spellEnd"/>
            <w:r w:rsidRPr="00506250">
              <w:t>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ООО «Аврора Тур»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ООО «</w:t>
            </w:r>
            <w:proofErr w:type="spellStart"/>
            <w:r w:rsidRPr="00506250">
              <w:t>Дайверси</w:t>
            </w:r>
            <w:proofErr w:type="spellEnd"/>
            <w:r w:rsidRPr="00506250">
              <w:t>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 w:val="restart"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4</w:t>
            </w:r>
          </w:p>
        </w:tc>
        <w:tc>
          <w:tcPr>
            <w:tcW w:w="4819" w:type="dxa"/>
            <w:vMerge w:val="restart"/>
            <w:vAlign w:val="center"/>
          </w:tcPr>
          <w:p w:rsidR="00E20C8A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  <w:r w:rsidRPr="00506250">
              <w:t xml:space="preserve">№ 456: Баренцево море, </w:t>
            </w:r>
          </w:p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  <w:proofErr w:type="spellStart"/>
            <w:r w:rsidRPr="00506250">
              <w:t>Святоносский</w:t>
            </w:r>
            <w:proofErr w:type="spellEnd"/>
            <w:r w:rsidRPr="00506250">
              <w:t xml:space="preserve"> залив 2</w:t>
            </w:r>
          </w:p>
        </w:tc>
        <w:tc>
          <w:tcPr>
            <w:tcW w:w="4784" w:type="dxa"/>
            <w:vAlign w:val="center"/>
          </w:tcPr>
          <w:p w:rsidR="00AF4B54" w:rsidRPr="00506250" w:rsidRDefault="00AF4B54" w:rsidP="00AF4B54">
            <w:r w:rsidRPr="00506250">
              <w:t>Мурманский филиал ФГБУ «</w:t>
            </w:r>
            <w:proofErr w:type="spellStart"/>
            <w:r w:rsidRPr="00506250">
              <w:t>Главрыбвод</w:t>
            </w:r>
            <w:proofErr w:type="spellEnd"/>
            <w:r w:rsidRPr="00506250">
              <w:t>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 xml:space="preserve">АО «Серебро </w:t>
            </w:r>
            <w:proofErr w:type="spellStart"/>
            <w:r w:rsidRPr="00506250">
              <w:t>Поноя</w:t>
            </w:r>
            <w:proofErr w:type="spellEnd"/>
            <w:r w:rsidRPr="00506250">
              <w:t xml:space="preserve"> +»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ООО «</w:t>
            </w:r>
            <w:proofErr w:type="spellStart"/>
            <w:r w:rsidRPr="00506250">
              <w:t>Мурмансктурист</w:t>
            </w:r>
            <w:proofErr w:type="spellEnd"/>
            <w:r w:rsidRPr="00506250">
              <w:t>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 w:val="restart"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AF4B54" w:rsidRPr="00506250" w:rsidRDefault="00AF4B54" w:rsidP="00AF4B54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  <w:r w:rsidRPr="00506250">
              <w:t xml:space="preserve">№ 458: Баренцево море, м. </w:t>
            </w:r>
            <w:proofErr w:type="spellStart"/>
            <w:r w:rsidRPr="00506250">
              <w:t>Ярнышный</w:t>
            </w:r>
            <w:proofErr w:type="spellEnd"/>
          </w:p>
        </w:tc>
        <w:tc>
          <w:tcPr>
            <w:tcW w:w="4784" w:type="dxa"/>
            <w:vAlign w:val="center"/>
          </w:tcPr>
          <w:p w:rsidR="00AF4B54" w:rsidRPr="00506250" w:rsidRDefault="00AF4B54" w:rsidP="00AF4B54">
            <w:r w:rsidRPr="00506250">
              <w:t>Мурманский филиал ФГБУ «</w:t>
            </w:r>
            <w:proofErr w:type="spellStart"/>
            <w:r w:rsidRPr="00506250">
              <w:t>Главрыбвод</w:t>
            </w:r>
            <w:proofErr w:type="spellEnd"/>
            <w:r w:rsidRPr="00506250">
              <w:t>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ООО «Дальние Зеленцы»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 xml:space="preserve">АО «Серебро </w:t>
            </w:r>
            <w:proofErr w:type="spellStart"/>
            <w:r w:rsidRPr="00506250">
              <w:t>Поноя</w:t>
            </w:r>
            <w:proofErr w:type="spellEnd"/>
            <w:r w:rsidRPr="00506250">
              <w:t xml:space="preserve"> +»</w:t>
            </w:r>
          </w:p>
        </w:tc>
      </w:tr>
      <w:tr w:rsidR="00AF4B54" w:rsidRPr="00506250" w:rsidTr="00AF4B54">
        <w:trPr>
          <w:trHeight w:val="397"/>
          <w:jc w:val="center"/>
        </w:trPr>
        <w:tc>
          <w:tcPr>
            <w:tcW w:w="95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819" w:type="dxa"/>
            <w:vMerge/>
            <w:vAlign w:val="center"/>
          </w:tcPr>
          <w:p w:rsidR="00AF4B54" w:rsidRPr="00506250" w:rsidRDefault="00AF4B5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84" w:type="dxa"/>
            <w:vAlign w:val="center"/>
          </w:tcPr>
          <w:p w:rsidR="00AF4B54" w:rsidRPr="00506250" w:rsidRDefault="00AF4B54" w:rsidP="005C5AD8">
            <w:r w:rsidRPr="00506250">
              <w:t>ООО «Аврора Тур»</w:t>
            </w:r>
          </w:p>
        </w:tc>
      </w:tr>
    </w:tbl>
    <w:p w:rsidR="00C23F5A" w:rsidRDefault="00AF4B54" w:rsidP="0050625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Кроме того, </w:t>
      </w:r>
      <w:r w:rsidR="00E90111">
        <w:rPr>
          <w:sz w:val="28"/>
        </w:rPr>
        <w:t xml:space="preserve">14 </w:t>
      </w:r>
      <w:r w:rsidR="00506250">
        <w:rPr>
          <w:sz w:val="28"/>
        </w:rPr>
        <w:t xml:space="preserve">июля </w:t>
      </w:r>
      <w:r>
        <w:rPr>
          <w:sz w:val="28"/>
        </w:rPr>
        <w:t>2020</w:t>
      </w:r>
      <w:r w:rsidR="00506250">
        <w:rPr>
          <w:sz w:val="28"/>
        </w:rPr>
        <w:t xml:space="preserve"> г.</w:t>
      </w:r>
      <w:r>
        <w:rPr>
          <w:sz w:val="28"/>
        </w:rPr>
        <w:t xml:space="preserve"> от Мурманского филиала</w:t>
      </w:r>
      <w:r w:rsidR="00C23F5A">
        <w:rPr>
          <w:sz w:val="28"/>
        </w:rPr>
        <w:t xml:space="preserve"> ФГБУ «</w:t>
      </w:r>
      <w:proofErr w:type="spellStart"/>
      <w:r w:rsidR="00C23F5A">
        <w:rPr>
          <w:sz w:val="28"/>
        </w:rPr>
        <w:t>Главрыбвод</w:t>
      </w:r>
      <w:proofErr w:type="spellEnd"/>
      <w:r w:rsidR="00C23F5A">
        <w:rPr>
          <w:sz w:val="28"/>
        </w:rPr>
        <w:t>»</w:t>
      </w:r>
      <w:r>
        <w:rPr>
          <w:sz w:val="28"/>
        </w:rPr>
        <w:t xml:space="preserve"> поступил конверт, содержащий изменения ранее под</w:t>
      </w:r>
      <w:r w:rsidR="00031971">
        <w:rPr>
          <w:sz w:val="28"/>
        </w:rPr>
        <w:t>анных З</w:t>
      </w:r>
      <w:r>
        <w:rPr>
          <w:sz w:val="28"/>
        </w:rPr>
        <w:t xml:space="preserve">аявок по лотам № 1, </w:t>
      </w:r>
      <w:r w:rsidR="00031971">
        <w:rPr>
          <w:sz w:val="28"/>
        </w:rPr>
        <w:br/>
      </w:r>
      <w:r>
        <w:rPr>
          <w:sz w:val="28"/>
        </w:rPr>
        <w:t>№ 2,</w:t>
      </w:r>
      <w:r w:rsidR="00225D7A">
        <w:rPr>
          <w:sz w:val="28"/>
        </w:rPr>
        <w:t xml:space="preserve"> </w:t>
      </w:r>
      <w:r>
        <w:rPr>
          <w:sz w:val="28"/>
        </w:rPr>
        <w:t>№ 3,</w:t>
      </w:r>
      <w:r w:rsidR="00506250">
        <w:rPr>
          <w:sz w:val="28"/>
        </w:rPr>
        <w:t xml:space="preserve"> </w:t>
      </w:r>
      <w:r>
        <w:rPr>
          <w:sz w:val="28"/>
        </w:rPr>
        <w:t>№ 4 и № 5.</w:t>
      </w:r>
    </w:p>
    <w:p w:rsidR="00225D7A" w:rsidRDefault="00225D7A" w:rsidP="0050625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</w:p>
    <w:p w:rsidR="00225D7A" w:rsidRDefault="00225D7A" w:rsidP="00C23F5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>Также в адрес организатора конкурса поступили следующие обращения об отзыве ранее поданных Заявок:</w:t>
      </w:r>
    </w:p>
    <w:p w:rsidR="00225D7A" w:rsidRDefault="00225D7A" w:rsidP="00225D7A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 xml:space="preserve">от </w:t>
      </w:r>
      <w:r w:rsidRPr="00225D7A">
        <w:rPr>
          <w:sz w:val="28"/>
        </w:rPr>
        <w:t>Мурманского филиала ФГБУ «</w:t>
      </w:r>
      <w:proofErr w:type="spellStart"/>
      <w:r w:rsidRPr="00225D7A">
        <w:rPr>
          <w:sz w:val="28"/>
        </w:rPr>
        <w:t>Главрыбвод</w:t>
      </w:r>
      <w:proofErr w:type="spellEnd"/>
      <w:r w:rsidRPr="00225D7A">
        <w:rPr>
          <w:sz w:val="28"/>
        </w:rPr>
        <w:t>»</w:t>
      </w:r>
      <w:r>
        <w:rPr>
          <w:sz w:val="28"/>
        </w:rPr>
        <w:t xml:space="preserve"> </w:t>
      </w:r>
      <w:r w:rsidRPr="00225D7A">
        <w:rPr>
          <w:sz w:val="28"/>
        </w:rPr>
        <w:t>об отзы</w:t>
      </w:r>
      <w:r>
        <w:rPr>
          <w:sz w:val="28"/>
        </w:rPr>
        <w:t>ве Заявок</w:t>
      </w:r>
      <w:r w:rsidRPr="00225D7A">
        <w:rPr>
          <w:sz w:val="28"/>
        </w:rPr>
        <w:t xml:space="preserve"> по лоту № 4</w:t>
      </w:r>
      <w:r>
        <w:rPr>
          <w:sz w:val="28"/>
        </w:rPr>
        <w:t xml:space="preserve"> (2</w:t>
      </w:r>
      <w:r w:rsidR="00E90111" w:rsidRPr="00225D7A">
        <w:rPr>
          <w:sz w:val="28"/>
        </w:rPr>
        <w:t xml:space="preserve">1 </w:t>
      </w:r>
      <w:r w:rsidR="00506250" w:rsidRPr="00225D7A">
        <w:rPr>
          <w:sz w:val="28"/>
        </w:rPr>
        <w:t xml:space="preserve">июля </w:t>
      </w:r>
      <w:r w:rsidR="00C23F5A" w:rsidRPr="00225D7A">
        <w:rPr>
          <w:sz w:val="28"/>
        </w:rPr>
        <w:t>2020</w:t>
      </w:r>
      <w:r w:rsidR="00506250" w:rsidRPr="00225D7A">
        <w:rPr>
          <w:sz w:val="28"/>
        </w:rPr>
        <w:t xml:space="preserve"> г.</w:t>
      </w:r>
      <w:r>
        <w:rPr>
          <w:sz w:val="28"/>
        </w:rPr>
        <w:t xml:space="preserve">) и </w:t>
      </w:r>
      <w:r w:rsidRPr="00225D7A">
        <w:rPr>
          <w:sz w:val="28"/>
        </w:rPr>
        <w:t>по лотам № 1 и № 2</w:t>
      </w:r>
      <w:r>
        <w:rPr>
          <w:sz w:val="28"/>
        </w:rPr>
        <w:t xml:space="preserve"> (28 июля 2020 г.);</w:t>
      </w:r>
    </w:p>
    <w:p w:rsidR="00AF4B54" w:rsidRDefault="00225D7A" w:rsidP="00225D7A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 xml:space="preserve">от ООО «Аврора Тур» об отзыве Заявок по лотам № 1 и № 2 </w:t>
      </w:r>
      <w:r w:rsidR="004963E3">
        <w:rPr>
          <w:sz w:val="28"/>
        </w:rPr>
        <w:br/>
      </w:r>
      <w:r>
        <w:rPr>
          <w:sz w:val="28"/>
        </w:rPr>
        <w:t>(30 июля</w:t>
      </w:r>
      <w:r w:rsidR="004963E3">
        <w:rPr>
          <w:sz w:val="28"/>
        </w:rPr>
        <w:t xml:space="preserve"> </w:t>
      </w:r>
      <w:r>
        <w:rPr>
          <w:sz w:val="28"/>
        </w:rPr>
        <w:t xml:space="preserve">2020 г.).  </w:t>
      </w:r>
      <w:r w:rsidR="00C23F5A">
        <w:rPr>
          <w:sz w:val="28"/>
        </w:rPr>
        <w:t xml:space="preserve">  </w:t>
      </w:r>
      <w:r w:rsidR="00AF4B54">
        <w:rPr>
          <w:sz w:val="28"/>
        </w:rPr>
        <w:t xml:space="preserve"> </w:t>
      </w:r>
    </w:p>
    <w:p w:rsidR="00C23F5A" w:rsidRDefault="00FB7AC2" w:rsidP="00C23F5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proofErr w:type="gramStart"/>
      <w:r w:rsidRPr="00FB7AC2">
        <w:rPr>
          <w:sz w:val="28"/>
        </w:rPr>
        <w:t xml:space="preserve">Комиссия оценила представленные </w:t>
      </w:r>
      <w:r>
        <w:rPr>
          <w:sz w:val="28"/>
        </w:rPr>
        <w:t>З</w:t>
      </w:r>
      <w:r w:rsidRPr="00FB7AC2">
        <w:rPr>
          <w:sz w:val="28"/>
        </w:rPr>
        <w:t xml:space="preserve">аявки и прилагаемые к ним документы на соответствие требованиям, установленным Правилами организации и проведения конкурса на право заключения договора </w:t>
      </w:r>
      <w:r w:rsidR="00AF4B54">
        <w:rPr>
          <w:sz w:val="28"/>
        </w:rPr>
        <w:t>пользования рыболовным участком для организации любительского рыболовства</w:t>
      </w:r>
      <w:r>
        <w:rPr>
          <w:sz w:val="28"/>
        </w:rPr>
        <w:t>, утвержденными п</w:t>
      </w:r>
      <w:r w:rsidRPr="00FB7AC2">
        <w:rPr>
          <w:sz w:val="28"/>
        </w:rPr>
        <w:t>остановлением Правительства Российской Федерации</w:t>
      </w:r>
      <w:r w:rsidR="00AF4B54">
        <w:rPr>
          <w:sz w:val="28"/>
        </w:rPr>
        <w:t xml:space="preserve"> </w:t>
      </w:r>
      <w:r w:rsidRPr="00FB7AC2">
        <w:rPr>
          <w:sz w:val="28"/>
        </w:rPr>
        <w:t xml:space="preserve">от </w:t>
      </w:r>
      <w:r w:rsidR="00AF4B54">
        <w:rPr>
          <w:sz w:val="28"/>
        </w:rPr>
        <w:t xml:space="preserve">30 декабря 2008 г. </w:t>
      </w:r>
      <w:r w:rsidRPr="00FB7AC2">
        <w:rPr>
          <w:sz w:val="28"/>
        </w:rPr>
        <w:t xml:space="preserve">№ </w:t>
      </w:r>
      <w:r w:rsidR="00AF4B54">
        <w:rPr>
          <w:sz w:val="28"/>
        </w:rPr>
        <w:t>1078</w:t>
      </w:r>
      <w:r>
        <w:rPr>
          <w:sz w:val="28"/>
        </w:rPr>
        <w:t xml:space="preserve"> (далее – Правила) </w:t>
      </w:r>
      <w:r w:rsidRPr="00FB7AC2">
        <w:rPr>
          <w:sz w:val="28"/>
        </w:rPr>
        <w:t xml:space="preserve">и </w:t>
      </w:r>
      <w:r>
        <w:rPr>
          <w:sz w:val="28"/>
        </w:rPr>
        <w:t>к</w:t>
      </w:r>
      <w:r w:rsidRPr="00FB7AC2">
        <w:rPr>
          <w:sz w:val="28"/>
        </w:rPr>
        <w:t xml:space="preserve">онкурсной документацией </w:t>
      </w:r>
      <w:r w:rsidR="00AF4B54" w:rsidRPr="00180D8E">
        <w:rPr>
          <w:sz w:val="28"/>
          <w:szCs w:val="28"/>
        </w:rPr>
        <w:t>на право заключения договора</w:t>
      </w:r>
      <w:r w:rsidR="00AF4B54">
        <w:rPr>
          <w:sz w:val="28"/>
          <w:szCs w:val="28"/>
        </w:rPr>
        <w:t xml:space="preserve"> пользования рыболовным участком для организации любительского рыболовства</w:t>
      </w:r>
      <w:r w:rsidR="00AF4B54" w:rsidRPr="00EF586A">
        <w:t xml:space="preserve"> </w:t>
      </w:r>
      <w:r w:rsidR="00AF4B54" w:rsidRPr="00EF586A">
        <w:rPr>
          <w:sz w:val="28"/>
          <w:szCs w:val="28"/>
        </w:rPr>
        <w:t>в отношении водных биологических</w:t>
      </w:r>
      <w:proofErr w:type="gramEnd"/>
      <w:r w:rsidR="00AF4B54" w:rsidRPr="00EF586A">
        <w:rPr>
          <w:sz w:val="28"/>
          <w:szCs w:val="28"/>
        </w:rPr>
        <w:t xml:space="preserve"> ресурсов, находящихся в федеральной собственности,</w:t>
      </w:r>
      <w:r w:rsidR="00C23F5A">
        <w:rPr>
          <w:sz w:val="28"/>
          <w:szCs w:val="28"/>
        </w:rPr>
        <w:t xml:space="preserve"> </w:t>
      </w:r>
      <w:r w:rsidR="00AF4B54" w:rsidRPr="00EF586A">
        <w:rPr>
          <w:sz w:val="28"/>
          <w:szCs w:val="28"/>
        </w:rPr>
        <w:t xml:space="preserve">в том числе анадромных, </w:t>
      </w:r>
      <w:proofErr w:type="spellStart"/>
      <w:r w:rsidR="00AF4B54" w:rsidRPr="00EF586A">
        <w:rPr>
          <w:sz w:val="28"/>
          <w:szCs w:val="28"/>
        </w:rPr>
        <w:t>катадромных</w:t>
      </w:r>
      <w:proofErr w:type="spellEnd"/>
      <w:r w:rsidR="00AF4B54" w:rsidRPr="00EF586A">
        <w:rPr>
          <w:sz w:val="28"/>
          <w:szCs w:val="28"/>
        </w:rPr>
        <w:t xml:space="preserve"> и трансграничных видов рыб</w:t>
      </w:r>
      <w:r w:rsidR="00AF4B54">
        <w:rPr>
          <w:sz w:val="28"/>
          <w:szCs w:val="28"/>
        </w:rPr>
        <w:t>,</w:t>
      </w:r>
      <w:r w:rsidR="00C23F5A">
        <w:rPr>
          <w:sz w:val="28"/>
          <w:szCs w:val="28"/>
        </w:rPr>
        <w:t xml:space="preserve"> </w:t>
      </w:r>
      <w:r w:rsidR="00AF4B54" w:rsidRPr="00180D8E">
        <w:rPr>
          <w:sz w:val="28"/>
        </w:rPr>
        <w:t>на территории Мурманской области</w:t>
      </w:r>
      <w:r w:rsidR="00C764D0">
        <w:rPr>
          <w:sz w:val="28"/>
        </w:rPr>
        <w:t xml:space="preserve"> (далее – Конкурсная документация)</w:t>
      </w:r>
      <w:r>
        <w:rPr>
          <w:sz w:val="28"/>
        </w:rPr>
        <w:t xml:space="preserve">, утвержденной приказом </w:t>
      </w:r>
      <w:r w:rsidR="00C23F5A">
        <w:rPr>
          <w:sz w:val="28"/>
        </w:rPr>
        <w:t xml:space="preserve">Североморского </w:t>
      </w:r>
      <w:r>
        <w:rPr>
          <w:sz w:val="28"/>
        </w:rPr>
        <w:t xml:space="preserve">ТУ Росрыболовства от </w:t>
      </w:r>
      <w:r w:rsidR="00C23F5A">
        <w:rPr>
          <w:sz w:val="28"/>
        </w:rPr>
        <w:t xml:space="preserve">18 июня 2020 г. </w:t>
      </w:r>
      <w:r>
        <w:rPr>
          <w:sz w:val="28"/>
        </w:rPr>
        <w:t xml:space="preserve">№ </w:t>
      </w:r>
      <w:r w:rsidR="00C23F5A">
        <w:rPr>
          <w:sz w:val="28"/>
        </w:rPr>
        <w:t>101</w:t>
      </w:r>
      <w:r w:rsidR="00181F22">
        <w:rPr>
          <w:sz w:val="28"/>
        </w:rPr>
        <w:t xml:space="preserve">. </w:t>
      </w:r>
    </w:p>
    <w:p w:rsidR="00FB7AC2" w:rsidRPr="00FB7AC2" w:rsidRDefault="00181F22" w:rsidP="00031971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32"/>
          <w:szCs w:val="28"/>
        </w:rPr>
      </w:pPr>
      <w:r>
        <w:rPr>
          <w:sz w:val="28"/>
        </w:rPr>
        <w:t>По результатам рассмотрения З</w:t>
      </w:r>
      <w:r w:rsidR="00FB7AC2" w:rsidRPr="00FB7AC2">
        <w:rPr>
          <w:sz w:val="28"/>
        </w:rPr>
        <w:t>аявок и прилагаемых к ним документов Комиссия приняла следующие решения: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888"/>
        <w:gridCol w:w="2977"/>
        <w:gridCol w:w="2605"/>
        <w:gridCol w:w="3736"/>
      </w:tblGrid>
      <w:tr w:rsidR="00181F22" w:rsidRPr="00E20C8A" w:rsidTr="00031971">
        <w:trPr>
          <w:trHeight w:val="1275"/>
          <w:tblHeader/>
        </w:trPr>
        <w:tc>
          <w:tcPr>
            <w:tcW w:w="888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t>Номер лота</w:t>
            </w:r>
          </w:p>
        </w:tc>
        <w:tc>
          <w:tcPr>
            <w:tcW w:w="2977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t>Наименование заявителя</w:t>
            </w:r>
          </w:p>
        </w:tc>
        <w:tc>
          <w:tcPr>
            <w:tcW w:w="2605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Решение Комиссии о допуске или об отказе в допуске к участию в Конкурсе</w:t>
            </w:r>
          </w:p>
        </w:tc>
        <w:tc>
          <w:tcPr>
            <w:tcW w:w="3736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Основание отказа в допуске к участию в Конкурсе</w:t>
            </w:r>
          </w:p>
        </w:tc>
      </w:tr>
      <w:tr w:rsidR="00C23F5A" w:rsidRPr="00E20C8A" w:rsidTr="003646EE">
        <w:trPr>
          <w:trHeight w:val="397"/>
        </w:trPr>
        <w:tc>
          <w:tcPr>
            <w:tcW w:w="888" w:type="dxa"/>
            <w:vMerge w:val="restart"/>
            <w:vAlign w:val="center"/>
          </w:tcPr>
          <w:p w:rsidR="00C23F5A" w:rsidRPr="00E20C8A" w:rsidRDefault="00C23F5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C23F5A" w:rsidRPr="00E20C8A" w:rsidRDefault="00C23F5A" w:rsidP="005C5AD8">
            <w:r w:rsidRPr="00E20C8A">
              <w:t xml:space="preserve">АО «Серебро </w:t>
            </w:r>
            <w:proofErr w:type="spellStart"/>
            <w:r w:rsidRPr="00E20C8A">
              <w:t>Поноя</w:t>
            </w:r>
            <w:proofErr w:type="spellEnd"/>
            <w:r w:rsidRPr="00E20C8A">
              <w:t xml:space="preserve"> +»</w:t>
            </w:r>
          </w:p>
        </w:tc>
        <w:tc>
          <w:tcPr>
            <w:tcW w:w="2605" w:type="dxa"/>
            <w:vAlign w:val="center"/>
          </w:tcPr>
          <w:p w:rsidR="00C23F5A" w:rsidRPr="00E20C8A" w:rsidRDefault="00C23F5A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C23F5A" w:rsidRPr="00E20C8A" w:rsidRDefault="00C23F5A" w:rsidP="00A92EB7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23F5A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C23F5A" w:rsidRPr="00E20C8A" w:rsidRDefault="00C23F5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23F5A" w:rsidRPr="00E20C8A" w:rsidRDefault="00C23F5A" w:rsidP="005C5AD8">
            <w:r w:rsidRPr="00E20C8A">
              <w:t>ООО «Логистик-А»</w:t>
            </w:r>
          </w:p>
        </w:tc>
        <w:tc>
          <w:tcPr>
            <w:tcW w:w="2605" w:type="dxa"/>
            <w:vAlign w:val="center"/>
          </w:tcPr>
          <w:p w:rsidR="00C23F5A" w:rsidRPr="00E20C8A" w:rsidRDefault="00C23F5A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C23F5A" w:rsidRPr="00E20C8A" w:rsidRDefault="00C23F5A" w:rsidP="00A92EB7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23F5A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C23F5A" w:rsidRPr="00E20C8A" w:rsidRDefault="00C23F5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23F5A" w:rsidRPr="00E20C8A" w:rsidRDefault="00C23F5A" w:rsidP="005C5AD8">
            <w:r w:rsidRPr="00E20C8A">
              <w:t xml:space="preserve">ИП </w:t>
            </w:r>
            <w:proofErr w:type="spellStart"/>
            <w:r w:rsidRPr="00E20C8A">
              <w:t>Гулимчук</w:t>
            </w:r>
            <w:proofErr w:type="spellEnd"/>
            <w:r w:rsidRPr="00E20C8A">
              <w:t xml:space="preserve"> Александр Ярославович</w:t>
            </w:r>
          </w:p>
        </w:tc>
        <w:tc>
          <w:tcPr>
            <w:tcW w:w="2605" w:type="dxa"/>
            <w:vAlign w:val="center"/>
          </w:tcPr>
          <w:p w:rsidR="00C23F5A" w:rsidRPr="00E20C8A" w:rsidRDefault="00C23F5A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C23F5A" w:rsidRPr="00E20C8A" w:rsidRDefault="00C23F5A" w:rsidP="00A92EB7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 w:val="restart"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 xml:space="preserve">АО «Серебро </w:t>
            </w:r>
            <w:proofErr w:type="spellStart"/>
            <w:r w:rsidRPr="00E20C8A">
              <w:t>Поноя</w:t>
            </w:r>
            <w:proofErr w:type="spellEnd"/>
            <w:r w:rsidRPr="00E20C8A">
              <w:t xml:space="preserve"> +»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ООО «Логистик-А»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 xml:space="preserve">ИП </w:t>
            </w:r>
            <w:proofErr w:type="spellStart"/>
            <w:r w:rsidRPr="00E20C8A">
              <w:t>Гулимчук</w:t>
            </w:r>
            <w:proofErr w:type="spellEnd"/>
            <w:r w:rsidRPr="00E20C8A">
              <w:t xml:space="preserve"> Александр Ярославович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 w:val="restart"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 xml:space="preserve">Мурманский филиал </w:t>
            </w:r>
          </w:p>
          <w:p w:rsidR="00887646" w:rsidRPr="00E20C8A" w:rsidRDefault="00887646" w:rsidP="005C5AD8">
            <w:r w:rsidRPr="00E20C8A">
              <w:t>ФГБУ «</w:t>
            </w:r>
            <w:proofErr w:type="spellStart"/>
            <w:r w:rsidRPr="00E20C8A">
              <w:t>Главрыбвод</w:t>
            </w:r>
            <w:proofErr w:type="spellEnd"/>
            <w:r w:rsidRPr="00E20C8A">
              <w:t>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 xml:space="preserve">АО «Серебро </w:t>
            </w:r>
            <w:proofErr w:type="spellStart"/>
            <w:r w:rsidRPr="00E20C8A">
              <w:t>Поноя</w:t>
            </w:r>
            <w:proofErr w:type="spellEnd"/>
            <w:r w:rsidRPr="00E20C8A">
              <w:t xml:space="preserve"> +»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ОО</w:t>
            </w:r>
            <w:r w:rsidR="00BE6FA1">
              <w:t>О</w:t>
            </w:r>
            <w:r w:rsidRPr="00E20C8A">
              <w:t xml:space="preserve"> «Ч.Ч. аниме»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 xml:space="preserve">ООО «Порт </w:t>
            </w:r>
            <w:proofErr w:type="spellStart"/>
            <w:r w:rsidRPr="00E20C8A">
              <w:t>Лиинахамари</w:t>
            </w:r>
            <w:proofErr w:type="spellEnd"/>
            <w:r w:rsidRPr="00E20C8A">
              <w:t>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ООО «Аврора Тур»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ООО «</w:t>
            </w:r>
            <w:proofErr w:type="spellStart"/>
            <w:r w:rsidRPr="00E20C8A">
              <w:t>Дайверси</w:t>
            </w:r>
            <w:proofErr w:type="spellEnd"/>
            <w:r w:rsidRPr="00E20C8A">
              <w:t>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Отказ в допуске</w:t>
            </w:r>
          </w:p>
        </w:tc>
        <w:tc>
          <w:tcPr>
            <w:tcW w:w="3736" w:type="dxa"/>
            <w:vAlign w:val="center"/>
          </w:tcPr>
          <w:p w:rsidR="00887646" w:rsidRPr="00BE6FA1" w:rsidRDefault="003646EE" w:rsidP="00887646">
            <w:pPr>
              <w:pStyle w:val="a3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E6FA1">
              <w:rPr>
                <w:rFonts w:eastAsiaTheme="minorHAnsi"/>
                <w:lang w:eastAsia="en-US"/>
              </w:rPr>
              <w:t>Непредставление</w:t>
            </w:r>
            <w:r w:rsidR="006F65A4" w:rsidRPr="00BE6FA1">
              <w:rPr>
                <w:rFonts w:eastAsiaTheme="minorHAnsi"/>
                <w:lang w:eastAsia="en-US"/>
              </w:rPr>
              <w:t xml:space="preserve"> заявителем</w:t>
            </w:r>
            <w:r w:rsidRPr="00BE6FA1">
              <w:rPr>
                <w:rFonts w:eastAsiaTheme="minorHAnsi"/>
                <w:lang w:eastAsia="en-US"/>
              </w:rPr>
              <w:t xml:space="preserve"> предусмотренных п. 27 Правил документов (</w:t>
            </w:r>
            <w:proofErr w:type="spellStart"/>
            <w:r w:rsidRPr="00BE6FA1">
              <w:rPr>
                <w:rFonts w:eastAsiaTheme="minorHAnsi"/>
                <w:lang w:eastAsia="en-US"/>
              </w:rPr>
              <w:t>пп</w:t>
            </w:r>
            <w:proofErr w:type="spellEnd"/>
            <w:r w:rsidRPr="00BE6FA1">
              <w:rPr>
                <w:rFonts w:eastAsiaTheme="minorHAnsi"/>
                <w:lang w:eastAsia="en-US"/>
              </w:rPr>
              <w:t>. а) п. 14 Правил): о</w:t>
            </w:r>
            <w:r w:rsidR="00887646" w:rsidRPr="00BE6FA1">
              <w:rPr>
                <w:rFonts w:eastAsiaTheme="minorHAnsi"/>
                <w:lang w:eastAsia="en-US"/>
              </w:rPr>
              <w:t>тсутст</w:t>
            </w:r>
            <w:r w:rsidRPr="00BE6FA1">
              <w:rPr>
                <w:rFonts w:eastAsiaTheme="minorHAnsi"/>
                <w:lang w:eastAsia="en-US"/>
              </w:rPr>
              <w:t>вуют</w:t>
            </w:r>
            <w:r w:rsidR="00887646" w:rsidRPr="00BE6FA1">
              <w:rPr>
                <w:rFonts w:eastAsiaTheme="minorHAnsi"/>
                <w:lang w:eastAsia="en-US"/>
              </w:rPr>
              <w:t xml:space="preserve"> заверенны</w:t>
            </w:r>
            <w:r w:rsidR="006F65A4" w:rsidRPr="00BE6FA1">
              <w:rPr>
                <w:rFonts w:eastAsiaTheme="minorHAnsi"/>
                <w:lang w:eastAsia="en-US"/>
              </w:rPr>
              <w:t>е</w:t>
            </w:r>
            <w:r w:rsidR="00887646" w:rsidRPr="00BE6FA1">
              <w:rPr>
                <w:rFonts w:eastAsiaTheme="minorHAnsi"/>
                <w:lang w:eastAsia="en-US"/>
              </w:rPr>
              <w:t xml:space="preserve"> заявителем документ</w:t>
            </w:r>
            <w:r w:rsidRPr="00BE6FA1">
              <w:rPr>
                <w:rFonts w:eastAsiaTheme="minorHAnsi"/>
                <w:lang w:eastAsia="en-US"/>
              </w:rPr>
              <w:t>ы</w:t>
            </w:r>
            <w:r w:rsidR="00887646" w:rsidRPr="00BE6FA1">
              <w:rPr>
                <w:rFonts w:eastAsiaTheme="minorHAnsi"/>
                <w:lang w:eastAsia="en-US"/>
              </w:rPr>
              <w:t xml:space="preserve">, </w:t>
            </w:r>
            <w:r w:rsidR="00887646" w:rsidRPr="00BE6FA1">
              <w:rPr>
                <w:rFonts w:eastAsiaTheme="minorHAnsi"/>
                <w:lang w:eastAsia="en-US"/>
              </w:rPr>
              <w:lastRenderedPageBreak/>
              <w:t>подтверждающи</w:t>
            </w:r>
            <w:r w:rsidRPr="00BE6FA1">
              <w:rPr>
                <w:rFonts w:eastAsiaTheme="minorHAnsi"/>
                <w:lang w:eastAsia="en-US"/>
              </w:rPr>
              <w:t>е</w:t>
            </w:r>
            <w:r w:rsidR="00887646" w:rsidRPr="00BE6FA1">
              <w:rPr>
                <w:rFonts w:eastAsiaTheme="minorHAnsi"/>
                <w:lang w:eastAsia="en-US"/>
              </w:rPr>
              <w:t xml:space="preserve"> среднюю численность работающих у заявителя работников, которые были зарегистрированы в Мурманской области и которые осуществляли либо будут осуществлять организацию любительского рыболовства на выставляемом на конкурс рыболовном участке (</w:t>
            </w:r>
            <w:proofErr w:type="spellStart"/>
            <w:r w:rsidR="00887646" w:rsidRPr="00BE6FA1">
              <w:rPr>
                <w:rFonts w:eastAsiaTheme="minorHAnsi"/>
                <w:lang w:eastAsia="en-US"/>
              </w:rPr>
              <w:t>пп</w:t>
            </w:r>
            <w:proofErr w:type="spellEnd"/>
            <w:r w:rsidR="00887646" w:rsidRPr="00BE6FA1">
              <w:rPr>
                <w:rFonts w:eastAsiaTheme="minorHAnsi"/>
                <w:lang w:eastAsia="en-US"/>
              </w:rPr>
              <w:t>. е) п. 27 Правил, раздел 4 Конкурсной документации).</w:t>
            </w:r>
            <w:proofErr w:type="gramEnd"/>
          </w:p>
          <w:p w:rsidR="00887646" w:rsidRPr="00BE6FA1" w:rsidRDefault="003646EE" w:rsidP="006F65A4">
            <w:pPr>
              <w:pStyle w:val="a3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BE6FA1">
              <w:rPr>
                <w:rFonts w:eastAsiaTheme="minorHAnsi"/>
                <w:lang w:eastAsia="en-US"/>
              </w:rPr>
              <w:t xml:space="preserve">Несоответствие заявки и прилагаемых к ней документов требованиям, установленным </w:t>
            </w:r>
            <w:r w:rsidR="006F65A4" w:rsidRPr="00BE6FA1">
              <w:rPr>
                <w:rFonts w:eastAsiaTheme="minorHAnsi"/>
                <w:lang w:eastAsia="en-US"/>
              </w:rPr>
              <w:br/>
            </w:r>
            <w:r w:rsidRPr="00BE6FA1">
              <w:rPr>
                <w:rFonts w:eastAsiaTheme="minorHAnsi"/>
                <w:lang w:eastAsia="en-US"/>
              </w:rPr>
              <w:t>п. 28 Правил (</w:t>
            </w:r>
            <w:proofErr w:type="spellStart"/>
            <w:r w:rsidRPr="00BE6FA1">
              <w:rPr>
                <w:rFonts w:eastAsiaTheme="minorHAnsi"/>
                <w:lang w:eastAsia="en-US"/>
              </w:rPr>
              <w:t>пп</w:t>
            </w:r>
            <w:proofErr w:type="spellEnd"/>
            <w:r w:rsidRPr="00BE6FA1">
              <w:rPr>
                <w:rFonts w:eastAsiaTheme="minorHAnsi"/>
                <w:lang w:eastAsia="en-US"/>
              </w:rPr>
              <w:t>. в) п. 14 Правил): д</w:t>
            </w:r>
            <w:r w:rsidR="00887646" w:rsidRPr="00BE6FA1">
              <w:rPr>
                <w:rFonts w:eastAsiaTheme="minorHAnsi"/>
                <w:lang w:eastAsia="en-US"/>
              </w:rPr>
              <w:t>окументы, направленные заявителем в Комиссию, не пронумерованы, не сшиты и не заверены печатью заявителя</w:t>
            </w:r>
            <w:r w:rsidR="006F65A4" w:rsidRPr="00BE6FA1">
              <w:rPr>
                <w:rFonts w:eastAsiaTheme="minorHAnsi"/>
                <w:lang w:eastAsia="en-US"/>
              </w:rPr>
              <w:t xml:space="preserve"> </w:t>
            </w:r>
            <w:r w:rsidR="00887646" w:rsidRPr="00BE6FA1">
              <w:rPr>
                <w:rFonts w:eastAsiaTheme="minorHAnsi"/>
                <w:lang w:eastAsia="en-US"/>
              </w:rPr>
              <w:t xml:space="preserve">(п. 28 Правил, раздел 3 Конкурсной документации). </w:t>
            </w: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 w:val="restart"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 xml:space="preserve">АО «Серебро </w:t>
            </w:r>
            <w:proofErr w:type="spellStart"/>
            <w:r w:rsidRPr="00E20C8A">
              <w:t>Поноя</w:t>
            </w:r>
            <w:proofErr w:type="spellEnd"/>
            <w:r w:rsidRPr="00E20C8A">
              <w:t xml:space="preserve"> +»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 xml:space="preserve">Допущен 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ООО «</w:t>
            </w:r>
            <w:proofErr w:type="spellStart"/>
            <w:r w:rsidRPr="00E20C8A">
              <w:t>Мурмансктурист</w:t>
            </w:r>
            <w:proofErr w:type="spellEnd"/>
            <w:r w:rsidRPr="00E20C8A">
              <w:t>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 xml:space="preserve">Допущен 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 w:val="restart"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Мурманский филиал ФГБУ «</w:t>
            </w:r>
            <w:proofErr w:type="spellStart"/>
            <w:r w:rsidRPr="00E20C8A">
              <w:t>Главрыбвод</w:t>
            </w:r>
            <w:proofErr w:type="spellEnd"/>
            <w:r w:rsidRPr="00E20C8A">
              <w:t>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ООО «Дальние Зеленцы»</w:t>
            </w:r>
          </w:p>
        </w:tc>
        <w:tc>
          <w:tcPr>
            <w:tcW w:w="2605" w:type="dxa"/>
            <w:vAlign w:val="center"/>
          </w:tcPr>
          <w:p w:rsidR="00887646" w:rsidRPr="00E20C8A" w:rsidRDefault="00BE6FA1" w:rsidP="005C5A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Отказ в допуске</w:t>
            </w:r>
          </w:p>
        </w:tc>
        <w:tc>
          <w:tcPr>
            <w:tcW w:w="3736" w:type="dxa"/>
            <w:vAlign w:val="center"/>
          </w:tcPr>
          <w:p w:rsidR="00887646" w:rsidRPr="00E20C8A" w:rsidRDefault="00BE6FA1" w:rsidP="004646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Наличие в представленных заявителем документах недостоверных сведений (</w:t>
            </w:r>
            <w:proofErr w:type="spellStart"/>
            <w:r>
              <w:rPr>
                <w:rFonts w:eastAsiaTheme="minorHAnsi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lang w:eastAsia="en-US"/>
              </w:rPr>
              <w:t xml:space="preserve">. а) </w:t>
            </w:r>
            <w:r>
              <w:rPr>
                <w:rFonts w:eastAsiaTheme="minorHAnsi"/>
                <w:lang w:eastAsia="en-US"/>
              </w:rPr>
              <w:br/>
              <w:t xml:space="preserve">п. 14 Правил): данные о количестве выданных заявителем в установленном порядке гражданам именных разовых лицензий на осуществление любительского рыболовства не соответствуют данным, ранее представленным заявителем в сведениях о добыче (вылове) водных биоресурсов, направляемых в адрес территориального управления Росрыболовства в соответствии с правилами рыболовства для Северного </w:t>
            </w:r>
            <w:proofErr w:type="spellStart"/>
            <w:r>
              <w:rPr>
                <w:rFonts w:eastAsiaTheme="minorHAnsi"/>
                <w:lang w:eastAsia="en-US"/>
              </w:rPr>
              <w:t>рыбохозяй</w:t>
            </w:r>
            <w:r w:rsidR="0046468B">
              <w:rPr>
                <w:rFonts w:eastAsiaTheme="minorHAnsi"/>
                <w:lang w:eastAsia="en-US"/>
              </w:rPr>
              <w:t>ственного</w:t>
            </w:r>
            <w:proofErr w:type="spellEnd"/>
            <w:r w:rsidR="0046468B">
              <w:rPr>
                <w:rFonts w:eastAsiaTheme="minorHAnsi"/>
                <w:lang w:eastAsia="en-US"/>
              </w:rPr>
              <w:t xml:space="preserve"> бассейна. </w:t>
            </w:r>
            <w:proofErr w:type="gramEnd"/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 xml:space="preserve">АО «Серебро </w:t>
            </w:r>
            <w:proofErr w:type="spellStart"/>
            <w:r w:rsidRPr="00E20C8A">
              <w:t>Поноя</w:t>
            </w:r>
            <w:proofErr w:type="spellEnd"/>
            <w:r w:rsidRPr="00E20C8A">
              <w:t xml:space="preserve"> +»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87646" w:rsidRPr="00E20C8A" w:rsidTr="003646EE">
        <w:trPr>
          <w:trHeight w:val="397"/>
        </w:trPr>
        <w:tc>
          <w:tcPr>
            <w:tcW w:w="888" w:type="dxa"/>
            <w:vMerge/>
            <w:vAlign w:val="center"/>
          </w:tcPr>
          <w:p w:rsidR="00887646" w:rsidRPr="00E20C8A" w:rsidRDefault="0088764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87646" w:rsidRPr="00E20C8A" w:rsidRDefault="00887646" w:rsidP="005C5AD8">
            <w:r w:rsidRPr="00E20C8A">
              <w:t>ООО «Аврора Тур»</w:t>
            </w:r>
          </w:p>
        </w:tc>
        <w:tc>
          <w:tcPr>
            <w:tcW w:w="2605" w:type="dxa"/>
            <w:vAlign w:val="center"/>
          </w:tcPr>
          <w:p w:rsidR="00887646" w:rsidRPr="00E20C8A" w:rsidRDefault="00887646" w:rsidP="005C5AD8">
            <w:pPr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 xml:space="preserve">Допущен </w:t>
            </w:r>
          </w:p>
        </w:tc>
        <w:tc>
          <w:tcPr>
            <w:tcW w:w="3736" w:type="dxa"/>
            <w:vAlign w:val="center"/>
          </w:tcPr>
          <w:p w:rsidR="00887646" w:rsidRPr="00E20C8A" w:rsidRDefault="00887646" w:rsidP="00C23F5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963E3" w:rsidRDefault="004963E3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В рамках межведомственного взаимодействия с Федеральной налоговой службой от ИФНС России по г. Мурманску в отношен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ии ООО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«Логистик-А» была представлена информация о наличии неисполненной обязанности по уплате налогов, сборов, страховых взносов, пеней, штрафов, процентов (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пп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в) п. 11 Правил). Однако данное юридическое лицо не представило бухгалтерскую отчетность за 2019 г., вследствие чего, определить </w:t>
      </w:r>
      <w:r w:rsidR="00523D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размер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данной неисполненной обязанности от балансовой стоимости активов </w:t>
      </w:r>
      <w:r w:rsidR="00523D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заявителя по данным бухгалтерской отчетности за последний отчетный период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не представляется возможным. </w:t>
      </w:r>
    </w:p>
    <w:p w:rsidR="004963E3" w:rsidRPr="0046468B" w:rsidRDefault="004963E3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основании полученной информации Комиссией принято решение о направлении в адрес ООО «Логистик-А» дополнител</w:t>
      </w:r>
      <w:r w:rsidR="00523D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ь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ного запроса об уточнении</w:t>
      </w:r>
      <w:r w:rsidR="00523D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размера неисполненной обязанности по уплате налогов, сборов и др. </w:t>
      </w:r>
    </w:p>
    <w:p w:rsidR="00523D39" w:rsidRDefault="00523D39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Кроме того, организатором конкурса в рамках межведомственного взаимодействия с Федеральной налоговой службой направлены запросы о средней численности работников всех заявителей, подавших Заявки. На момент рассм</w:t>
      </w:r>
      <w:r w:rsidR="00A5783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отрения Заявок ответы не поступи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ли. </w:t>
      </w:r>
    </w:p>
    <w:p w:rsidR="00523D39" w:rsidRDefault="00523D39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случае выявления недостоверных сведений в прилагаемых заявителями документах или несоответствия заявителя требованиям п. 11 Правил, </w:t>
      </w:r>
      <w:r w:rsidR="00A5783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будет проведено дополнительное заседание комиссии по рассмотрению Заявок.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</w:t>
      </w:r>
    </w:p>
    <w:p w:rsidR="00BE69DE" w:rsidRDefault="00181F22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соответствии с п. 4</w:t>
      </w:r>
      <w:r w:rsidR="003646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Правил </w:t>
      </w:r>
      <w:r w:rsidRPr="00704199">
        <w:rPr>
          <w:sz w:val="28"/>
        </w:rPr>
        <w:t>у</w:t>
      </w:r>
      <w:r>
        <w:rPr>
          <w:sz w:val="28"/>
        </w:rPr>
        <w:t>ведомить заявителей о принятом К</w:t>
      </w:r>
      <w:r w:rsidRPr="00704199">
        <w:rPr>
          <w:sz w:val="28"/>
        </w:rPr>
        <w:t xml:space="preserve">омиссией решении </w:t>
      </w:r>
      <w:r>
        <w:rPr>
          <w:sz w:val="28"/>
        </w:rPr>
        <w:t xml:space="preserve">в течение 1 рабочего дня, следующего за днем </w:t>
      </w:r>
      <w:r w:rsidRPr="00704199">
        <w:rPr>
          <w:sz w:val="28"/>
        </w:rPr>
        <w:t>подписания данного протокола</w:t>
      </w:r>
      <w:r>
        <w:rPr>
          <w:sz w:val="28"/>
        </w:rPr>
        <w:t>.</w:t>
      </w:r>
    </w:p>
    <w:p w:rsidR="00277388" w:rsidRDefault="00277388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Голосовали: «</w:t>
      </w:r>
      <w:r w:rsidRPr="0046468B">
        <w:rPr>
          <w:rFonts w:ascii="Times New Roman" w:hAnsi="Times New Roman" w:cs="Times New Roman"/>
          <w:bCs/>
          <w:sz w:val="28"/>
          <w:szCs w:val="28"/>
        </w:rPr>
        <w:t xml:space="preserve">за» - </w:t>
      </w:r>
      <w:r w:rsidR="0046468B" w:rsidRPr="0046468B">
        <w:rPr>
          <w:rFonts w:ascii="Times New Roman" w:hAnsi="Times New Roman" w:cs="Times New Roman"/>
          <w:bCs/>
          <w:sz w:val="28"/>
          <w:szCs w:val="28"/>
        </w:rPr>
        <w:t>5</w:t>
      </w:r>
      <w:r w:rsidRPr="0046468B">
        <w:rPr>
          <w:rFonts w:ascii="Times New Roman" w:hAnsi="Times New Roman" w:cs="Times New Roman"/>
          <w:bCs/>
          <w:sz w:val="28"/>
          <w:szCs w:val="28"/>
        </w:rPr>
        <w:t>,    «против»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нет.</w:t>
      </w: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B612BA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0C8A" w:rsidRDefault="00E20C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6EE" w:rsidRDefault="003646EE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8C3B8E" w:rsidRPr="00C400C3" w:rsidTr="00277388">
        <w:tc>
          <w:tcPr>
            <w:tcW w:w="4928" w:type="dxa"/>
          </w:tcPr>
          <w:p w:rsidR="008C3B8E" w:rsidRPr="00C400C3" w:rsidRDefault="003646EE" w:rsidP="003646E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8C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3646EE" w:rsidP="00FB7AC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8C3B8E" w:rsidRPr="00C400C3" w:rsidTr="00277388">
        <w:tc>
          <w:tcPr>
            <w:tcW w:w="4928" w:type="dxa"/>
          </w:tcPr>
          <w:p w:rsidR="00277388" w:rsidRDefault="00277388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834" w:rsidRDefault="00A57834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78FC" w:rsidRPr="00C400C3" w:rsidRDefault="00CA78FC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277388"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E20C8A" w:rsidP="00E20C8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Алексеев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AC2" w:rsidRPr="00C400C3" w:rsidRDefault="00EC0125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="00FB7AC2"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E20C8A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 w:rsidR="008C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EC0125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="008C3B8E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AC2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E20C8A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AC2" w:rsidRPr="00C400C3" w:rsidRDefault="00EC0125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="00FB7AC2"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E20C8A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Default="008C3B8E" w:rsidP="00CA78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Sect="00761A8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33" w:rsidRPr="00176789" w:rsidRDefault="001B4533" w:rsidP="00176789">
      <w:r>
        <w:separator/>
      </w:r>
    </w:p>
  </w:endnote>
  <w:endnote w:type="continuationSeparator" w:id="0">
    <w:p w:rsidR="001B4533" w:rsidRPr="00176789" w:rsidRDefault="001B4533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68" w:rsidRDefault="00A23B68">
    <w:pPr>
      <w:pStyle w:val="a7"/>
      <w:jc w:val="center"/>
    </w:pPr>
  </w:p>
  <w:p w:rsidR="00A23B68" w:rsidRDefault="00A23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33" w:rsidRPr="00176789" w:rsidRDefault="001B4533" w:rsidP="00176789">
      <w:r>
        <w:separator/>
      </w:r>
    </w:p>
  </w:footnote>
  <w:footnote w:type="continuationSeparator" w:id="0">
    <w:p w:rsidR="001B4533" w:rsidRPr="00176789" w:rsidRDefault="001B4533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61263"/>
      <w:docPartObj>
        <w:docPartGallery w:val="Page Numbers (Top of Page)"/>
        <w:docPartUnique/>
      </w:docPartObj>
    </w:sdtPr>
    <w:sdtEndPr/>
    <w:sdtContent>
      <w:p w:rsidR="00E20C8A" w:rsidRDefault="00EC0125" w:rsidP="00EC0125">
        <w:pPr>
          <w:pStyle w:val="a5"/>
          <w:tabs>
            <w:tab w:val="left" w:pos="4860"/>
            <w:tab w:val="center" w:pos="5102"/>
          </w:tabs>
        </w:pPr>
        <w:r>
          <w:tab/>
        </w:r>
        <w:r>
          <w:tab/>
        </w:r>
        <w:r>
          <w:tab/>
        </w:r>
        <w:r w:rsidR="00E20C8A">
          <w:fldChar w:fldCharType="begin"/>
        </w:r>
        <w:r w:rsidR="00E20C8A">
          <w:instrText>PAGE   \* MERGEFORMAT</w:instrText>
        </w:r>
        <w:r w:rsidR="00E20C8A">
          <w:fldChar w:fldCharType="separate"/>
        </w:r>
        <w:r w:rsidR="00C10BA0">
          <w:rPr>
            <w:noProof/>
          </w:rPr>
          <w:t>5</w:t>
        </w:r>
        <w:r w:rsidR="00E20C8A">
          <w:fldChar w:fldCharType="end"/>
        </w:r>
      </w:p>
    </w:sdtContent>
  </w:sdt>
  <w:p w:rsidR="00EC0125" w:rsidRDefault="00EC01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001D3"/>
    <w:multiLevelType w:val="hybridMultilevel"/>
    <w:tmpl w:val="109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05042"/>
    <w:multiLevelType w:val="hybridMultilevel"/>
    <w:tmpl w:val="57583E2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53FF8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4535F2"/>
    <w:multiLevelType w:val="hybridMultilevel"/>
    <w:tmpl w:val="DDC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24C4B"/>
    <w:multiLevelType w:val="hybridMultilevel"/>
    <w:tmpl w:val="39C246EE"/>
    <w:lvl w:ilvl="0" w:tplc="88CEE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F39E5"/>
    <w:multiLevelType w:val="hybridMultilevel"/>
    <w:tmpl w:val="8BB62926"/>
    <w:lvl w:ilvl="0" w:tplc="FC388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B6C77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A7F"/>
    <w:multiLevelType w:val="hybridMultilevel"/>
    <w:tmpl w:val="0EAE9236"/>
    <w:lvl w:ilvl="0" w:tplc="627A63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706610"/>
    <w:multiLevelType w:val="hybridMultilevel"/>
    <w:tmpl w:val="D292BA3E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31"/>
  </w:num>
  <w:num w:numId="4">
    <w:abstractNumId w:val="20"/>
  </w:num>
  <w:num w:numId="5">
    <w:abstractNumId w:val="35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32"/>
  </w:num>
  <w:num w:numId="17">
    <w:abstractNumId w:val="30"/>
  </w:num>
  <w:num w:numId="18">
    <w:abstractNumId w:val="9"/>
  </w:num>
  <w:num w:numId="19">
    <w:abstractNumId w:val="34"/>
  </w:num>
  <w:num w:numId="20">
    <w:abstractNumId w:val="22"/>
  </w:num>
  <w:num w:numId="21">
    <w:abstractNumId w:val="23"/>
  </w:num>
  <w:num w:numId="22">
    <w:abstractNumId w:val="12"/>
  </w:num>
  <w:num w:numId="23">
    <w:abstractNumId w:val="6"/>
  </w:num>
  <w:num w:numId="24">
    <w:abstractNumId w:val="33"/>
  </w:num>
  <w:num w:numId="25">
    <w:abstractNumId w:val="19"/>
  </w:num>
  <w:num w:numId="26">
    <w:abstractNumId w:val="21"/>
  </w:num>
  <w:num w:numId="27">
    <w:abstractNumId w:val="24"/>
  </w:num>
  <w:num w:numId="28">
    <w:abstractNumId w:val="0"/>
  </w:num>
  <w:num w:numId="29">
    <w:abstractNumId w:val="26"/>
  </w:num>
  <w:num w:numId="30">
    <w:abstractNumId w:val="11"/>
  </w:num>
  <w:num w:numId="31">
    <w:abstractNumId w:val="18"/>
  </w:num>
  <w:num w:numId="32">
    <w:abstractNumId w:val="25"/>
  </w:num>
  <w:num w:numId="33">
    <w:abstractNumId w:val="29"/>
  </w:num>
  <w:num w:numId="34">
    <w:abstractNumId w:val="28"/>
  </w:num>
  <w:num w:numId="35">
    <w:abstractNumId w:val="14"/>
  </w:num>
  <w:num w:numId="36">
    <w:abstractNumId w:val="37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971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3B88"/>
    <w:rsid w:val="00123D9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1F22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533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5D7A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388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484"/>
    <w:rsid w:val="003625B7"/>
    <w:rsid w:val="003626DD"/>
    <w:rsid w:val="003646EE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2BDE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6D44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2A8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468B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963E3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250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39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CBA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7A"/>
    <w:rsid w:val="005E57EF"/>
    <w:rsid w:val="005E594E"/>
    <w:rsid w:val="005E5B99"/>
    <w:rsid w:val="005E6E0F"/>
    <w:rsid w:val="005E78B8"/>
    <w:rsid w:val="005E7A05"/>
    <w:rsid w:val="005F059E"/>
    <w:rsid w:val="005F0A22"/>
    <w:rsid w:val="005F1541"/>
    <w:rsid w:val="005F1598"/>
    <w:rsid w:val="005F3D30"/>
    <w:rsid w:val="005F3F30"/>
    <w:rsid w:val="005F43F4"/>
    <w:rsid w:val="005F59A2"/>
    <w:rsid w:val="005F6B8E"/>
    <w:rsid w:val="006000F1"/>
    <w:rsid w:val="0060092A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6982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604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5A4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1A83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5A7D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646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0117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4B2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90F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5C81"/>
    <w:rsid w:val="00A562BD"/>
    <w:rsid w:val="00A56BB4"/>
    <w:rsid w:val="00A56C41"/>
    <w:rsid w:val="00A57045"/>
    <w:rsid w:val="00A57834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693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2EB7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4B54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6B23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92A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564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5DD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69DE"/>
    <w:rsid w:val="00BE6FA1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A0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3F5A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4D0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A78FC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0C8A"/>
    <w:rsid w:val="00E213DF"/>
    <w:rsid w:val="00E216CF"/>
    <w:rsid w:val="00E22319"/>
    <w:rsid w:val="00E22451"/>
    <w:rsid w:val="00E22533"/>
    <w:rsid w:val="00E2419C"/>
    <w:rsid w:val="00E24267"/>
    <w:rsid w:val="00E244C4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3CD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111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012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47D36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8F4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B7AC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EBF4-3C34-4519-9BDF-502115D9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Андрей Кудреватых</cp:lastModifiedBy>
  <cp:revision>2</cp:revision>
  <cp:lastPrinted>2020-07-30T14:12:00Z</cp:lastPrinted>
  <dcterms:created xsi:type="dcterms:W3CDTF">2020-07-30T14:48:00Z</dcterms:created>
  <dcterms:modified xsi:type="dcterms:W3CDTF">2020-07-30T14:48:00Z</dcterms:modified>
</cp:coreProperties>
</file>